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11" w:type="dxa"/>
        <w:tblInd w:w="-562" w:type="dxa"/>
        <w:tblCellMar>
          <w:top w:w="46" w:type="dxa"/>
          <w:left w:w="0" w:type="dxa"/>
          <w:right w:w="43" w:type="dxa"/>
        </w:tblCellMar>
        <w:tblLook w:val="04A0" w:firstRow="1" w:lastRow="0" w:firstColumn="1" w:lastColumn="0" w:noHBand="0" w:noVBand="1"/>
      </w:tblPr>
      <w:tblGrid>
        <w:gridCol w:w="516"/>
        <w:gridCol w:w="44"/>
        <w:gridCol w:w="7454"/>
        <w:gridCol w:w="1667"/>
        <w:gridCol w:w="4921"/>
        <w:gridCol w:w="12"/>
      </w:tblGrid>
      <w:tr w:rsidR="00D50ECC" w:rsidRPr="008621BD" w:rsidTr="00B32A77">
        <w:trPr>
          <w:gridAfter w:val="1"/>
          <w:wAfter w:w="10" w:type="dxa"/>
          <w:trHeight w:val="538"/>
          <w:tblHeader/>
        </w:trPr>
        <w:tc>
          <w:tcPr>
            <w:tcW w:w="14601" w:type="dxa"/>
            <w:gridSpan w:val="5"/>
            <w:tcBorders>
              <w:top w:val="single" w:sz="3"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jc w:val="center"/>
              <w:rPr>
                <w:rFonts w:ascii="Times New Roman" w:eastAsia="Times New Roman" w:hAnsi="Times New Roman"/>
                <w:lang w:eastAsia="pl-PL"/>
              </w:rPr>
            </w:pPr>
            <w:bookmarkStart w:id="0" w:name="_GoBack"/>
            <w:bookmarkEnd w:id="0"/>
            <w:r w:rsidRPr="008621BD">
              <w:rPr>
                <w:rFonts w:ascii="Times New Roman" w:eastAsia="Times New Roman" w:hAnsi="Times New Roman"/>
                <w:sz w:val="21"/>
                <w:lang w:eastAsia="pl-PL"/>
              </w:rPr>
              <w:t xml:space="preserve">KRYTERIA DLA OPERACJI FINANSOWANYCH </w:t>
            </w:r>
            <w:r>
              <w:rPr>
                <w:rFonts w:ascii="Times New Roman" w:eastAsia="Times New Roman" w:hAnsi="Times New Roman"/>
                <w:sz w:val="21"/>
                <w:lang w:eastAsia="pl-PL"/>
              </w:rPr>
              <w:t xml:space="preserve">W RAMACH REGIONALNEGO PROGRAMU OPERACYJNEGO WOJEWÓDZTWA PODLASKIEGO NA LATA 2014 – 2020 </w:t>
            </w:r>
            <w:r w:rsidRPr="008621BD">
              <w:rPr>
                <w:rFonts w:ascii="Times New Roman" w:eastAsia="Times New Roman" w:hAnsi="Times New Roman"/>
                <w:sz w:val="21"/>
                <w:lang w:eastAsia="pl-PL"/>
              </w:rPr>
              <w:t>Z EUROPEJSKIEGO FUNDUSZU ROZWOJU REGIONALNEGO</w:t>
            </w:r>
          </w:p>
        </w:tc>
      </w:tr>
      <w:tr w:rsidR="00D50ECC" w:rsidRPr="008621BD" w:rsidTr="00B32A77">
        <w:trPr>
          <w:gridAfter w:val="1"/>
          <w:wAfter w:w="10" w:type="dxa"/>
          <w:trHeight w:val="509"/>
          <w:tblHeader/>
        </w:trPr>
        <w:tc>
          <w:tcPr>
            <w:tcW w:w="14601" w:type="dxa"/>
            <w:gridSpan w:val="5"/>
            <w:tcBorders>
              <w:top w:val="single" w:sz="4" w:space="0" w:color="000000"/>
              <w:left w:val="single" w:sz="4" w:space="0" w:color="000000"/>
              <w:bottom w:val="single" w:sz="3" w:space="0" w:color="000000"/>
              <w:right w:val="single" w:sz="4" w:space="0" w:color="000000"/>
            </w:tcBorders>
            <w:shd w:val="clear" w:color="auto" w:fill="92D050"/>
            <w:vAlign w:val="center"/>
          </w:tcPr>
          <w:p w:rsidR="00D50ECC" w:rsidRPr="008621BD" w:rsidRDefault="00D50ECC" w:rsidP="00B32A77">
            <w:pPr>
              <w:spacing w:after="0" w:line="240" w:lineRule="auto"/>
              <w:rPr>
                <w:rFonts w:ascii="Times New Roman" w:eastAsia="Times New Roman" w:hAnsi="Times New Roman"/>
                <w:bCs/>
                <w:sz w:val="20"/>
                <w:szCs w:val="20"/>
                <w:lang w:eastAsia="pl-PL"/>
              </w:rPr>
            </w:pPr>
            <w:r w:rsidRPr="008621BD">
              <w:rPr>
                <w:rFonts w:ascii="Times New Roman" w:eastAsia="Times New Roman" w:hAnsi="Times New Roman"/>
                <w:b/>
                <w:bCs/>
                <w:sz w:val="20"/>
                <w:szCs w:val="20"/>
                <w:lang w:eastAsia="pl-PL"/>
              </w:rPr>
              <w:t>TYPU 8. PROJEKTY Z ZAKRESU INFRASTRUKTURY SPOŁECZNEJ/ OBIEKTÓW, W KTÓRYCH REALIZOWANE SĄ USŁUGI AKTYWIZACJI SPOŁECZNO - ZAWODOWEJ</w:t>
            </w:r>
          </w:p>
          <w:p w:rsidR="00D50ECC" w:rsidRPr="008621BD" w:rsidRDefault="00D50ECC" w:rsidP="00B32A77">
            <w:pPr>
              <w:spacing w:after="120" w:line="240" w:lineRule="auto"/>
              <w:rPr>
                <w:rFonts w:ascii="Times New Roman" w:eastAsia="Times New Roman" w:hAnsi="Times New Roman"/>
                <w:b/>
                <w:sz w:val="20"/>
                <w:szCs w:val="20"/>
                <w:lang w:eastAsia="pl-PL"/>
              </w:rPr>
            </w:pPr>
            <w:r w:rsidRPr="008621BD">
              <w:rPr>
                <w:rFonts w:ascii="Times New Roman" w:eastAsia="Times New Roman" w:hAnsi="Times New Roman"/>
                <w:b/>
                <w:sz w:val="20"/>
                <w:szCs w:val="20"/>
                <w:lang w:eastAsia="pl-PL"/>
              </w:rPr>
              <w:t>Przedsięwzięcia: 3.1.1. Infrastruktura Społeczna</w:t>
            </w:r>
          </w:p>
          <w:p w:rsidR="00D50ECC" w:rsidRPr="008621BD" w:rsidRDefault="00D50ECC" w:rsidP="00B32A77">
            <w:pPr>
              <w:spacing w:after="0" w:line="240" w:lineRule="auto"/>
              <w:rPr>
                <w:rFonts w:ascii="Times New Roman" w:eastAsia="Times New Roman" w:hAnsi="Times New Roman"/>
                <w:b/>
                <w:bCs/>
                <w:sz w:val="20"/>
                <w:szCs w:val="20"/>
                <w:lang w:eastAsia="pl-PL"/>
              </w:rPr>
            </w:pPr>
            <w:r w:rsidRPr="008621BD">
              <w:rPr>
                <w:rFonts w:ascii="Times New Roman" w:eastAsia="Times New Roman" w:hAnsi="Times New Roman"/>
                <w:b/>
                <w:sz w:val="20"/>
                <w:szCs w:val="20"/>
                <w:lang w:eastAsia="pl-PL"/>
              </w:rPr>
              <w:t xml:space="preserve">TYP 9. </w:t>
            </w:r>
            <w:r w:rsidRPr="008621BD">
              <w:rPr>
                <w:rFonts w:ascii="Times New Roman" w:eastAsia="Times New Roman" w:hAnsi="Times New Roman"/>
                <w:b/>
                <w:bCs/>
                <w:sz w:val="20"/>
                <w:szCs w:val="20"/>
                <w:lang w:eastAsia="pl-PL"/>
              </w:rPr>
              <w:t xml:space="preserve">REWITALIZACJA MAŁEJ SKALI </w:t>
            </w:r>
          </w:p>
          <w:p w:rsidR="00D50ECC" w:rsidRPr="008621BD" w:rsidRDefault="00D50ECC" w:rsidP="00B32A77">
            <w:pPr>
              <w:spacing w:after="0" w:line="240" w:lineRule="auto"/>
              <w:rPr>
                <w:rFonts w:ascii="Times New Roman" w:eastAsia="Times New Roman" w:hAnsi="Times New Roman"/>
                <w:lang w:eastAsia="pl-PL"/>
              </w:rPr>
            </w:pPr>
            <w:r w:rsidRPr="008621BD">
              <w:rPr>
                <w:rFonts w:ascii="Times New Roman" w:eastAsia="Times New Roman" w:hAnsi="Times New Roman"/>
                <w:b/>
                <w:bCs/>
                <w:sz w:val="20"/>
                <w:szCs w:val="20"/>
                <w:lang w:eastAsia="pl-PL"/>
              </w:rPr>
              <w:t>Przedsięwzięcia: 3.1.2. Rewitalizacja</w:t>
            </w:r>
          </w:p>
        </w:tc>
      </w:tr>
      <w:tr w:rsidR="00D50ECC" w:rsidRPr="008621BD" w:rsidTr="00B32A77">
        <w:trPr>
          <w:gridAfter w:val="1"/>
          <w:wAfter w:w="10" w:type="dxa"/>
          <w:trHeight w:val="277"/>
          <w:tblHeader/>
        </w:trPr>
        <w:tc>
          <w:tcPr>
            <w:tcW w:w="639" w:type="dxa"/>
            <w:gridSpan w:val="2"/>
            <w:tcBorders>
              <w:top w:val="single" w:sz="3"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851"/>
              <w:rPr>
                <w:rFonts w:ascii="Times New Roman" w:eastAsia="Times New Roman" w:hAnsi="Times New Roman"/>
                <w:lang w:eastAsia="pl-PL"/>
              </w:rPr>
            </w:pPr>
            <w:r w:rsidRPr="008621BD">
              <w:rPr>
                <w:rFonts w:ascii="Times New Roman" w:eastAsia="Times New Roman" w:hAnsi="Times New Roman"/>
                <w:sz w:val="21"/>
                <w:lang w:eastAsia="pl-PL"/>
              </w:rPr>
              <w:t xml:space="preserve">Lp. </w:t>
            </w:r>
          </w:p>
        </w:tc>
        <w:tc>
          <w:tcPr>
            <w:tcW w:w="7282" w:type="dxa"/>
            <w:tcBorders>
              <w:top w:val="single" w:sz="3"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851"/>
              <w:jc w:val="center"/>
              <w:rPr>
                <w:rFonts w:ascii="Times New Roman" w:eastAsia="Times New Roman" w:hAnsi="Times New Roman"/>
                <w:lang w:eastAsia="pl-PL"/>
              </w:rPr>
            </w:pPr>
            <w:r w:rsidRPr="008621BD">
              <w:rPr>
                <w:rFonts w:ascii="Times New Roman" w:eastAsia="Times New Roman" w:hAnsi="Times New Roman"/>
                <w:sz w:val="21"/>
                <w:lang w:eastAsia="pl-PL"/>
              </w:rPr>
              <w:t xml:space="preserve">KRYTERIUM </w:t>
            </w:r>
          </w:p>
        </w:tc>
        <w:tc>
          <w:tcPr>
            <w:tcW w:w="1177" w:type="dxa"/>
            <w:tcBorders>
              <w:top w:val="single" w:sz="3"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17"/>
              <w:jc w:val="center"/>
              <w:rPr>
                <w:rFonts w:ascii="Times New Roman" w:eastAsia="Times New Roman" w:hAnsi="Times New Roman"/>
                <w:lang w:eastAsia="pl-PL"/>
              </w:rPr>
            </w:pPr>
            <w:r w:rsidRPr="008621BD">
              <w:rPr>
                <w:rFonts w:ascii="Times New Roman" w:eastAsia="Times New Roman" w:hAnsi="Times New Roman"/>
                <w:sz w:val="21"/>
                <w:lang w:eastAsia="pl-PL"/>
              </w:rPr>
              <w:t>Punktacja</w:t>
            </w:r>
          </w:p>
        </w:tc>
        <w:tc>
          <w:tcPr>
            <w:tcW w:w="5503" w:type="dxa"/>
            <w:tcBorders>
              <w:top w:val="single" w:sz="3"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17"/>
              <w:jc w:val="center"/>
              <w:rPr>
                <w:rFonts w:ascii="Times New Roman" w:eastAsia="Times New Roman" w:hAnsi="Times New Roman"/>
                <w:lang w:eastAsia="pl-PL"/>
              </w:rPr>
            </w:pPr>
            <w:r w:rsidRPr="008621BD">
              <w:rPr>
                <w:rFonts w:ascii="Times New Roman" w:eastAsia="Times New Roman" w:hAnsi="Times New Roman"/>
                <w:sz w:val="21"/>
                <w:lang w:eastAsia="pl-PL"/>
              </w:rPr>
              <w:t>Ocena</w:t>
            </w:r>
          </w:p>
        </w:tc>
      </w:tr>
      <w:tr w:rsidR="00D50ECC" w:rsidRPr="008621BD" w:rsidTr="00B32A77">
        <w:trPr>
          <w:gridAfter w:val="1"/>
          <w:wAfter w:w="10" w:type="dxa"/>
          <w:trHeight w:val="1082"/>
        </w:trPr>
        <w:tc>
          <w:tcPr>
            <w:tcW w:w="639"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D50ECC">
            <w:pPr>
              <w:numPr>
                <w:ilvl w:val="0"/>
                <w:numId w:val="1"/>
              </w:numPr>
              <w:spacing w:after="0" w:line="259" w:lineRule="auto"/>
              <w:jc w:val="both"/>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Spełnienie kryterium: </w:t>
            </w:r>
          </w:p>
          <w:p w:rsidR="00D50ECC" w:rsidRPr="00A01D33" w:rsidRDefault="00D50ECC" w:rsidP="00B32A77">
            <w:pPr>
              <w:spacing w:after="0" w:line="240" w:lineRule="auto"/>
              <w:ind w:left="70" w:right="98"/>
              <w:jc w:val="both"/>
              <w:rPr>
                <w:rFonts w:ascii="Times New Roman" w:eastAsia="Times New Roman" w:hAnsi="Times New Roman"/>
                <w:sz w:val="20"/>
                <w:szCs w:val="20"/>
                <w:lang w:eastAsia="pl-PL"/>
              </w:rPr>
            </w:pPr>
            <w:r w:rsidRPr="00A01D33">
              <w:rPr>
                <w:rFonts w:ascii="Times New Roman" w:eastAsia="Times New Roman" w:hAnsi="Times New Roman"/>
                <w:sz w:val="20"/>
                <w:szCs w:val="20"/>
                <w:lang w:eastAsia="pl-PL"/>
              </w:rPr>
              <w:t xml:space="preserve">Preferuje się wnioskodawców korzystających osobiście z doradztwa biura LGD. Aby osoba lub podmiot uzyskała punkty za skorzystanie z doradztwa ma obowiązek skorzystać z niego osobiście od dnia ogłoszenia naboru wniosków na stronie internetowej LGD i nie później niż 3 dni przed zakończeniem naboru wniosków.  </w:t>
            </w:r>
          </w:p>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A01D33">
              <w:rPr>
                <w:rFonts w:ascii="Times New Roman" w:eastAsia="Times New Roman" w:hAnsi="Times New Roman"/>
                <w:sz w:val="20"/>
                <w:szCs w:val="20"/>
                <w:lang w:eastAsia="pl-PL"/>
              </w:rPr>
              <w:t>W trosce o wysoką jakość składanych wniosków preferuje się, aby wnioskodawcy korzystali z doradztwa świadczonego przez pracowników biura LGD/ ekspertów zatrudnionych na zlecenie biura LGD w zakresie przygotowania wniosku oraz załączników do wniosku. Wnioski wnioskodawców nie korzystających z doradztwa przed złożeniem wniosku nie otrzymują punktów.</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b/>
                <w:lang w:eastAsia="pl-PL"/>
              </w:rPr>
            </w:pPr>
            <w:r w:rsidRPr="008621BD">
              <w:rPr>
                <w:rFonts w:ascii="Times New Roman" w:eastAsia="Times New Roman" w:hAnsi="Times New Roman"/>
                <w:b/>
                <w:sz w:val="21"/>
                <w:lang w:eastAsia="pl-PL"/>
              </w:rPr>
              <w:t xml:space="preserve">Doradztwo LGD </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sz w:val="21"/>
                <w:lang w:eastAsia="pl-PL"/>
              </w:rPr>
              <w:t xml:space="preserve">0-5 </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0"/>
                <w:szCs w:val="20"/>
                <w:lang w:eastAsia="pl-PL"/>
              </w:rPr>
              <w:t xml:space="preserve">Wnioskodawca korzystał z doradztwa biura LGD </w:t>
            </w:r>
          </w:p>
        </w:tc>
        <w:tc>
          <w:tcPr>
            <w:tcW w:w="1177"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sz w:val="21"/>
                <w:lang w:eastAsia="pl-PL"/>
              </w:rPr>
              <w:t>5</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0"/>
                <w:szCs w:val="20"/>
                <w:lang w:eastAsia="pl-PL"/>
              </w:rPr>
              <w:t xml:space="preserve">Wnioskodawca nie korzystał z doradztwa biura LGD </w:t>
            </w:r>
          </w:p>
        </w:tc>
        <w:tc>
          <w:tcPr>
            <w:tcW w:w="1177"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lang w:eastAsia="pl-PL"/>
              </w:rPr>
              <w:t>0</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787"/>
        </w:trPr>
        <w:tc>
          <w:tcPr>
            <w:tcW w:w="639" w:type="dxa"/>
            <w:gridSpan w:val="2"/>
            <w:vMerge/>
            <w:tcBorders>
              <w:top w:val="nil"/>
              <w:left w:val="single" w:sz="4" w:space="0" w:color="000000"/>
              <w:bottom w:val="single" w:sz="4" w:space="0" w:color="000000"/>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Uzasadnienie: </w:t>
            </w:r>
          </w:p>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1073"/>
        </w:trPr>
        <w:tc>
          <w:tcPr>
            <w:tcW w:w="639"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D50ECC">
            <w:pPr>
              <w:numPr>
                <w:ilvl w:val="0"/>
                <w:numId w:val="1"/>
              </w:numPr>
              <w:spacing w:after="0" w:line="259" w:lineRule="auto"/>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Spełnienie kryterium: </w:t>
            </w:r>
          </w:p>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Wpływ operacji na grupy defaw</w:t>
            </w:r>
            <w:r>
              <w:rPr>
                <w:rFonts w:ascii="Times New Roman" w:eastAsia="Times New Roman" w:hAnsi="Times New Roman"/>
                <w:sz w:val="20"/>
                <w:szCs w:val="20"/>
                <w:lang w:eastAsia="pl-PL"/>
              </w:rPr>
              <w:t>oryzowane zidentyfikowane w LSR</w:t>
            </w:r>
            <w:r w:rsidRPr="008621BD">
              <w:rPr>
                <w:rFonts w:ascii="Times New Roman" w:eastAsia="Times New Roman" w:hAnsi="Times New Roman"/>
                <w:sz w:val="20"/>
                <w:szCs w:val="20"/>
                <w:lang w:eastAsia="pl-PL"/>
              </w:rPr>
              <w:t>. Preferuje się operacje realizowane przez wnioskodawców będących przedstawicielami grup defaworyzowanych lub operacje oddziaływujące pozytywnie na grupę defaworyzowaną. W przypadku stwierdzenia, iż wnioskodawca nie jest przedstawicielem grupy defaworyzowanej lub operacja nie będzie pozytywnie oddziaływać na żadną z grup defaworyzowa</w:t>
            </w:r>
            <w:r>
              <w:rPr>
                <w:rFonts w:ascii="Times New Roman" w:eastAsia="Times New Roman" w:hAnsi="Times New Roman"/>
                <w:sz w:val="20"/>
                <w:szCs w:val="20"/>
                <w:lang w:eastAsia="pl-PL"/>
              </w:rPr>
              <w:t>nych nie przyznaje się punktów.</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b/>
                <w:lang w:eastAsia="pl-PL"/>
              </w:rPr>
            </w:pPr>
            <w:r w:rsidRPr="008621BD">
              <w:rPr>
                <w:rFonts w:ascii="Times New Roman" w:eastAsia="Times New Roman" w:hAnsi="Times New Roman"/>
                <w:b/>
                <w:lang w:eastAsia="pl-PL"/>
              </w:rPr>
              <w:t>Oddziaływanie operacji na grupę defaworyzowaną zidentyfikowaną w LSR</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sz w:val="21"/>
                <w:lang w:eastAsia="pl-PL"/>
              </w:rPr>
              <w:t>0-</w:t>
            </w:r>
            <w:r>
              <w:rPr>
                <w:rFonts w:ascii="Times New Roman" w:eastAsia="Times New Roman" w:hAnsi="Times New Roman"/>
                <w:sz w:val="21"/>
                <w:lang w:eastAsia="pl-PL"/>
              </w:rPr>
              <w:t>8</w:t>
            </w: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sz w:val="20"/>
                <w:szCs w:val="20"/>
                <w:lang w:eastAsia="pl-PL"/>
              </w:rPr>
            </w:pPr>
            <w:r w:rsidRPr="00A01D33">
              <w:rPr>
                <w:rFonts w:ascii="Times New Roman" w:eastAsia="Times New Roman" w:hAnsi="Times New Roman"/>
                <w:sz w:val="20"/>
                <w:szCs w:val="20"/>
                <w:lang w:eastAsia="pl-PL"/>
              </w:rPr>
              <w:t>Operacja jest realizowana przez wnioskodawcę będącym przedstawicielem grupy defaworyzowanej.</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8</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540"/>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rPr>
                <w:rFonts w:ascii="Times New Roman" w:eastAsia="Times New Roman" w:hAnsi="Times New Roman"/>
                <w:sz w:val="20"/>
                <w:szCs w:val="20"/>
                <w:lang w:eastAsia="pl-PL"/>
              </w:rPr>
            </w:pPr>
            <w:r w:rsidRPr="00A01D33">
              <w:rPr>
                <w:rFonts w:ascii="Times New Roman" w:eastAsia="Times New Roman" w:hAnsi="Times New Roman"/>
                <w:sz w:val="20"/>
                <w:szCs w:val="20"/>
                <w:lang w:eastAsia="pl-PL"/>
              </w:rPr>
              <w:t>Operacja oddziaływuje pozytywnie na dwie grupy defaworyzowane.</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5</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539"/>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rPr>
                <w:rFonts w:ascii="Times New Roman" w:eastAsia="Times New Roman" w:hAnsi="Times New Roman"/>
                <w:sz w:val="20"/>
                <w:szCs w:val="20"/>
                <w:lang w:eastAsia="pl-PL"/>
              </w:rPr>
            </w:pPr>
            <w:r w:rsidRPr="00A01D33">
              <w:rPr>
                <w:rFonts w:ascii="Times New Roman" w:eastAsia="Times New Roman" w:hAnsi="Times New Roman"/>
                <w:sz w:val="20"/>
                <w:szCs w:val="20"/>
                <w:lang w:eastAsia="pl-PL"/>
              </w:rPr>
              <w:t>Operacja oddziaływuje pozytywnie na jedną grupę defaworyzowaną.</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sz w:val="21"/>
                <w:lang w:eastAsia="pl-PL"/>
              </w:rPr>
            </w:pPr>
          </w:p>
        </w:tc>
      </w:tr>
      <w:tr w:rsidR="00D50ECC" w:rsidRPr="008621BD" w:rsidTr="00B32A77">
        <w:trPr>
          <w:gridAfter w:val="1"/>
          <w:wAfter w:w="10" w:type="dxa"/>
          <w:trHeight w:val="539"/>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 xml:space="preserve">Operacja nie jest realizowana przez wnioskodawcę będącym przedstawicielem grupy defaworyzowanej </w:t>
            </w:r>
            <w:r>
              <w:rPr>
                <w:rFonts w:ascii="Times New Roman" w:eastAsia="Times New Roman" w:hAnsi="Times New Roman"/>
                <w:sz w:val="20"/>
                <w:szCs w:val="20"/>
                <w:lang w:eastAsia="pl-PL"/>
              </w:rPr>
              <w:t>i</w:t>
            </w:r>
            <w:r w:rsidRPr="008621BD">
              <w:rPr>
                <w:rFonts w:ascii="Times New Roman" w:eastAsia="Times New Roman" w:hAnsi="Times New Roman"/>
                <w:sz w:val="20"/>
                <w:szCs w:val="20"/>
                <w:lang w:eastAsia="pl-PL"/>
              </w:rPr>
              <w:t xml:space="preserve"> operacja nie oddziaływuje pozytywnie na żadną z grup defaworyzowanych.</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0</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542"/>
        </w:trPr>
        <w:tc>
          <w:tcPr>
            <w:tcW w:w="639" w:type="dxa"/>
            <w:gridSpan w:val="2"/>
            <w:vMerge/>
            <w:tcBorders>
              <w:top w:val="nil"/>
              <w:left w:val="single" w:sz="4" w:space="0" w:color="000000"/>
              <w:bottom w:val="single" w:sz="4" w:space="0" w:color="000000"/>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Uzasadnienie: </w:t>
            </w:r>
          </w:p>
          <w:p w:rsidR="00D50ECC" w:rsidRDefault="00D50ECC" w:rsidP="00B32A77">
            <w:pPr>
              <w:spacing w:after="0" w:line="259" w:lineRule="auto"/>
              <w:ind w:left="70"/>
              <w:rPr>
                <w:rFonts w:ascii="Times New Roman" w:eastAsia="Times New Roman" w:hAnsi="Times New Roman"/>
                <w:sz w:val="21"/>
                <w:lang w:eastAsia="pl-PL"/>
              </w:rPr>
            </w:pPr>
            <w:r w:rsidRPr="008621BD">
              <w:rPr>
                <w:rFonts w:ascii="Times New Roman" w:eastAsia="Times New Roman" w:hAnsi="Times New Roman"/>
                <w:sz w:val="21"/>
                <w:lang w:eastAsia="pl-PL"/>
              </w:rPr>
              <w:t xml:space="preserve"> </w:t>
            </w:r>
          </w:p>
          <w:p w:rsidR="00D50ECC" w:rsidRDefault="00D50ECC" w:rsidP="00B32A77">
            <w:pPr>
              <w:spacing w:after="0" w:line="259" w:lineRule="auto"/>
              <w:ind w:left="70"/>
              <w:rPr>
                <w:rFonts w:ascii="Times New Roman" w:eastAsia="Times New Roman" w:hAnsi="Times New Roman"/>
                <w:lang w:eastAsia="pl-PL"/>
              </w:rPr>
            </w:pPr>
          </w:p>
          <w:p w:rsidR="00453974" w:rsidRPr="008621BD" w:rsidRDefault="00453974" w:rsidP="00B32A77">
            <w:pPr>
              <w:spacing w:after="0" w:line="259" w:lineRule="auto"/>
              <w:ind w:left="70"/>
              <w:rPr>
                <w:rFonts w:ascii="Times New Roman" w:eastAsia="Times New Roman" w:hAnsi="Times New Roman"/>
                <w:lang w:eastAsia="pl-PL"/>
              </w:rPr>
            </w:pPr>
          </w:p>
        </w:tc>
      </w:tr>
      <w:tr w:rsidR="00D50ECC" w:rsidRPr="008621BD" w:rsidTr="00B32A77">
        <w:trPr>
          <w:gridAfter w:val="1"/>
          <w:wAfter w:w="10" w:type="dxa"/>
          <w:trHeight w:val="1073"/>
        </w:trPr>
        <w:tc>
          <w:tcPr>
            <w:tcW w:w="639"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D50ECC">
            <w:pPr>
              <w:numPr>
                <w:ilvl w:val="0"/>
                <w:numId w:val="1"/>
              </w:numPr>
              <w:spacing w:after="0" w:line="259" w:lineRule="auto"/>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Spełnienie kryterium: </w:t>
            </w:r>
          </w:p>
          <w:p w:rsidR="00D50ECC" w:rsidRPr="008621BD" w:rsidRDefault="00D50ECC" w:rsidP="00B32A77">
            <w:pPr>
              <w:spacing w:after="0" w:line="240" w:lineRule="auto"/>
              <w:ind w:left="70" w:right="98"/>
              <w:rPr>
                <w:rFonts w:ascii="Times New Roman" w:eastAsia="Times New Roman" w:hAnsi="Times New Roman"/>
                <w:sz w:val="20"/>
                <w:szCs w:val="20"/>
                <w:lang w:eastAsia="pl-PL"/>
              </w:rPr>
            </w:pPr>
            <w:r w:rsidRPr="00A01D33">
              <w:rPr>
                <w:rFonts w:ascii="Times New Roman" w:eastAsia="Times New Roman" w:hAnsi="Times New Roman"/>
                <w:sz w:val="20"/>
                <w:szCs w:val="20"/>
                <w:lang w:eastAsia="pl-PL"/>
              </w:rPr>
              <w:t>Premiowane będą operacje, których miejsce (lokalizacja operacji lub adres prowadzenia działalności gospodarczej lub w przypadku projektów finansowanych z Europejskiego Funduszu Społecznego miejsce zamieszkania odbiorców projektu) realizacji znajduje się w miejscowości liczącej do 5 tys. mieszkańców (wg stanu na dzień 31.12.2013 r.).  W projektach realizowanych w kilku miejscowościach a obejmujących mieszkańców przynajmniej jednej miejscowości liczącej do 5 tys. mieszkańców, punkty są  przyznane. Operacje realizowane wyłącznie poza miejscowościami do 5 tys. mieszkańców nie otrzymają pkt.</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b/>
                <w:bCs/>
                <w:sz w:val="20"/>
                <w:szCs w:val="20"/>
                <w:lang w:eastAsia="pl-PL"/>
              </w:rPr>
              <w:t>Miejsce realizacji operacji/ projektu:</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sz w:val="21"/>
                <w:lang w:eastAsia="pl-PL"/>
              </w:rPr>
              <w:t>0-2</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Operacja realizowana jest w miejscowości do 5 tys. mieszkańców włącznie.</w:t>
            </w:r>
          </w:p>
        </w:tc>
        <w:tc>
          <w:tcPr>
            <w:tcW w:w="1177"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2</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311"/>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Operacja realizowana jest w miejscowości zamieszkałej przez więcej niż 5 tys. mieszkańców.</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40"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0</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542"/>
        </w:trPr>
        <w:tc>
          <w:tcPr>
            <w:tcW w:w="639" w:type="dxa"/>
            <w:gridSpan w:val="2"/>
            <w:vMerge/>
            <w:tcBorders>
              <w:top w:val="nil"/>
              <w:left w:val="single" w:sz="4" w:space="0" w:color="000000"/>
              <w:bottom w:val="single" w:sz="4" w:space="0" w:color="000000"/>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Uzasadnienie: </w:t>
            </w:r>
          </w:p>
          <w:p w:rsidR="00D50ECC" w:rsidRDefault="00D50ECC" w:rsidP="00B32A77">
            <w:pPr>
              <w:spacing w:after="0" w:line="259" w:lineRule="auto"/>
              <w:ind w:left="70"/>
              <w:rPr>
                <w:rFonts w:ascii="Times New Roman" w:eastAsia="Times New Roman" w:hAnsi="Times New Roman"/>
                <w:sz w:val="21"/>
                <w:lang w:eastAsia="pl-PL"/>
              </w:rPr>
            </w:pPr>
            <w:r w:rsidRPr="008621BD">
              <w:rPr>
                <w:rFonts w:ascii="Times New Roman" w:eastAsia="Times New Roman" w:hAnsi="Times New Roman"/>
                <w:sz w:val="21"/>
                <w:lang w:eastAsia="pl-PL"/>
              </w:rPr>
              <w:t xml:space="preserve"> </w:t>
            </w:r>
          </w:p>
          <w:p w:rsidR="00453974" w:rsidRDefault="00453974" w:rsidP="00B32A77">
            <w:pPr>
              <w:spacing w:after="0" w:line="259" w:lineRule="auto"/>
              <w:ind w:left="70"/>
              <w:rPr>
                <w:rFonts w:ascii="Times New Roman" w:eastAsia="Times New Roman" w:hAnsi="Times New Roman"/>
                <w:sz w:val="21"/>
                <w:lang w:eastAsia="pl-PL"/>
              </w:rPr>
            </w:pPr>
          </w:p>
          <w:p w:rsidR="00453974" w:rsidRPr="008621BD" w:rsidRDefault="00453974" w:rsidP="00B32A77">
            <w:pPr>
              <w:spacing w:after="0" w:line="259" w:lineRule="auto"/>
              <w:ind w:left="70"/>
              <w:rPr>
                <w:rFonts w:ascii="Times New Roman" w:eastAsia="Times New Roman" w:hAnsi="Times New Roman"/>
                <w:lang w:eastAsia="pl-PL"/>
              </w:rPr>
            </w:pPr>
          </w:p>
        </w:tc>
      </w:tr>
      <w:tr w:rsidR="00D50ECC" w:rsidRPr="008621BD" w:rsidTr="00B32A77">
        <w:trPr>
          <w:gridAfter w:val="1"/>
          <w:wAfter w:w="10" w:type="dxa"/>
          <w:trHeight w:val="281"/>
        </w:trPr>
        <w:tc>
          <w:tcPr>
            <w:tcW w:w="639"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D50ECC">
            <w:pPr>
              <w:numPr>
                <w:ilvl w:val="0"/>
                <w:numId w:val="1"/>
              </w:numPr>
              <w:spacing w:after="0" w:line="259" w:lineRule="auto"/>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Spełnienie kryterium: </w:t>
            </w:r>
          </w:p>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Innowacyjny charakter operacji lub działań realizowanych w ramach operacji. Przez innowacyjność należy rozumieć zastosowanie lub wprowadzenie nowych lub ulepszonych produktów, procesów (technologii), metod organizacji lub marketingu poprzez praktyczne wykorzystanie lokalnych zasobów unikalnych i charakterystycznym na obszarze LSR (przyrodniczych, historycznych, kulturowych czy społecznych). Innowacyjne może być ich nietypowe, niestandardowe ich wykorzystanie czy promocja. W przypadku nie stwierdzenia innowacyjnego charakteru operacji nie przyznaje się punktów.</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b/>
                <w:lang w:eastAsia="pl-PL"/>
              </w:rPr>
            </w:pPr>
            <w:r w:rsidRPr="008621BD">
              <w:rPr>
                <w:rFonts w:ascii="Times New Roman" w:eastAsia="Times New Roman" w:hAnsi="Times New Roman"/>
                <w:b/>
                <w:lang w:eastAsia="pl-PL"/>
              </w:rPr>
              <w:t>Innowacyjność operacji</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sz w:val="21"/>
                <w:lang w:eastAsia="pl-PL"/>
              </w:rPr>
              <w:t>0-6</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Innowacyjność operacji na poziomie obszaru L</w:t>
            </w:r>
            <w:r>
              <w:rPr>
                <w:rFonts w:ascii="Times New Roman" w:eastAsia="Times New Roman" w:hAnsi="Times New Roman"/>
                <w:sz w:val="20"/>
                <w:szCs w:val="20"/>
                <w:lang w:eastAsia="pl-PL"/>
              </w:rPr>
              <w:t>SR</w:t>
            </w:r>
            <w:r w:rsidRPr="008621BD">
              <w:rPr>
                <w:rFonts w:ascii="Times New Roman" w:eastAsia="Times New Roman" w:hAnsi="Times New Roman"/>
                <w:sz w:val="20"/>
                <w:szCs w:val="20"/>
                <w:lang w:eastAsia="pl-PL"/>
              </w:rPr>
              <w:t>.</w:t>
            </w:r>
          </w:p>
        </w:tc>
        <w:tc>
          <w:tcPr>
            <w:tcW w:w="1177"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sz w:val="21"/>
                <w:lang w:eastAsia="pl-PL"/>
              </w:rPr>
              <w:t xml:space="preserve">6 </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540"/>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0"/>
                <w:szCs w:val="20"/>
                <w:lang w:eastAsia="pl-PL"/>
              </w:rPr>
              <w:t>Innowacyjność operacji na poziomie gminy członkowskiej LGD miejsca realizacji operacji.</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sz w:val="21"/>
                <w:lang w:eastAsia="pl-PL"/>
              </w:rPr>
              <w:t xml:space="preserve">3 </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539"/>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0"/>
                <w:szCs w:val="20"/>
                <w:lang w:eastAsia="pl-PL"/>
              </w:rPr>
              <w:t>Innowacyjność operacji na poziomie mniejszym niż obszar gminy członkowskiej LGD, miejsca realizacji operacji lub brak innowacyjności.</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sz w:val="21"/>
                <w:lang w:eastAsia="pl-PL"/>
              </w:rPr>
              <w:t xml:space="preserve">0 </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542"/>
        </w:trPr>
        <w:tc>
          <w:tcPr>
            <w:tcW w:w="639" w:type="dxa"/>
            <w:gridSpan w:val="2"/>
            <w:vMerge/>
            <w:tcBorders>
              <w:top w:val="nil"/>
              <w:left w:val="single" w:sz="4" w:space="0" w:color="000000"/>
              <w:bottom w:val="single" w:sz="4" w:space="0" w:color="000000"/>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Uzasadnienie: </w:t>
            </w:r>
          </w:p>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726"/>
        </w:trPr>
        <w:tc>
          <w:tcPr>
            <w:tcW w:w="639"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D50ECC">
            <w:pPr>
              <w:numPr>
                <w:ilvl w:val="0"/>
                <w:numId w:val="1"/>
              </w:numPr>
              <w:spacing w:after="0" w:line="259" w:lineRule="auto"/>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Spełnienie kryterium:</w:t>
            </w:r>
          </w:p>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Preferuje się operacje mające pozytywny wpływ na poprawę atrakcyjności turystycznej obszaru. Przez operacje mające pozytywny wpływ na poprawę atrakcyjności turystycznej obszaru rozumie się operacje polegające na wybudowaniu lub wyremontowaniu obiektu, który zwiększy ofertę turystyczną miejscowości; zakupie sprzętu, urządzeń lub wyposażenia lokalu użytkowego, które zwiększą ofertę turystyczną miejscowości; zrealizowaniu działań promocyjnych lub aktywizujących, które mogą mieć pozytywny wpływ na wizerunek turystyczny miejscowości; rozwinięciu działalności okołoturystycznej.</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b/>
                <w:lang w:eastAsia="pl-PL"/>
              </w:rPr>
            </w:pPr>
            <w:r w:rsidRPr="008621BD">
              <w:rPr>
                <w:rFonts w:ascii="Times New Roman" w:eastAsia="Times New Roman" w:hAnsi="Times New Roman"/>
                <w:b/>
                <w:lang w:eastAsia="pl-PL"/>
              </w:rPr>
              <w:t>Wpływ operacji na poprawę atrakcyjności turystycznej obszaru:</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lang w:eastAsia="pl-PL"/>
              </w:rPr>
              <w:t>0-5</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Operacja pozytywnie wpływa na poprawę atrakcyjności turystycznej obszaru.</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5</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29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Operacja ma neutralny wpływ na poprawę atrakcyjności turystycznej obszaru.</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0</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542"/>
        </w:trPr>
        <w:tc>
          <w:tcPr>
            <w:tcW w:w="639" w:type="dxa"/>
            <w:gridSpan w:val="2"/>
            <w:vMerge/>
            <w:tcBorders>
              <w:top w:val="nil"/>
              <w:left w:val="single" w:sz="4" w:space="0" w:color="000000"/>
              <w:bottom w:val="single" w:sz="4" w:space="0" w:color="000000"/>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Uzasadnienie: </w:t>
            </w:r>
          </w:p>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1073"/>
        </w:trPr>
        <w:tc>
          <w:tcPr>
            <w:tcW w:w="639"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D50ECC">
            <w:pPr>
              <w:numPr>
                <w:ilvl w:val="0"/>
                <w:numId w:val="1"/>
              </w:numPr>
              <w:spacing w:after="0" w:line="259" w:lineRule="auto"/>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Spełnienie kryterium: </w:t>
            </w:r>
          </w:p>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 xml:space="preserve">Preferuje się projekty, w których wnioskodawcy deklarują wkład własny na poziomie wyższym niż minimalny określony w RPO WP. Celem jest promowanie projektów angażujących środki inne niż środki RPO WP. W ramach kryterium oceniana będzie wielkość zaangażowanych środków własnych wnioskodawcy </w:t>
            </w:r>
          </w:p>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w realizację projektu.</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b/>
                <w:lang w:eastAsia="pl-PL"/>
              </w:rPr>
            </w:pPr>
            <w:r w:rsidRPr="008621BD">
              <w:rPr>
                <w:rFonts w:ascii="Times New Roman" w:eastAsia="Times New Roman" w:hAnsi="Times New Roman"/>
                <w:b/>
                <w:lang w:eastAsia="pl-PL"/>
              </w:rPr>
              <w:t>Wkład własny wnioskodawcy:</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sz w:val="21"/>
                <w:lang w:eastAsia="pl-PL"/>
              </w:rPr>
              <w:t>0-4</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Deklarowany wkład własny jest wyższy od minimalnego o ponad 5 p.p.</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4</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29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Deklarowany wkład własny jest wyższy od minimalnego o max 5 p.p. (włącznie).</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2</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29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Wnioskodawca deklaruje wkład własny na minimalnym wymaganym.</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0</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sz w:val="21"/>
                <w:lang w:eastAsia="pl-PL"/>
              </w:rPr>
            </w:pPr>
          </w:p>
        </w:tc>
      </w:tr>
      <w:tr w:rsidR="00D50ECC" w:rsidRPr="008621BD" w:rsidTr="00B32A77">
        <w:trPr>
          <w:gridAfter w:val="1"/>
          <w:wAfter w:w="10" w:type="dxa"/>
          <w:trHeight w:val="542"/>
        </w:trPr>
        <w:tc>
          <w:tcPr>
            <w:tcW w:w="639" w:type="dxa"/>
            <w:gridSpan w:val="2"/>
            <w:vMerge/>
            <w:tcBorders>
              <w:top w:val="nil"/>
              <w:left w:val="single" w:sz="4" w:space="0" w:color="000000"/>
              <w:bottom w:val="single" w:sz="4" w:space="0" w:color="000000"/>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Uzasadnienie: </w:t>
            </w:r>
          </w:p>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1073"/>
        </w:trPr>
        <w:tc>
          <w:tcPr>
            <w:tcW w:w="639"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D50ECC">
            <w:pPr>
              <w:numPr>
                <w:ilvl w:val="0"/>
                <w:numId w:val="1"/>
              </w:numPr>
              <w:spacing w:after="0" w:line="259" w:lineRule="auto"/>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Spełnienie kryterium:</w:t>
            </w:r>
          </w:p>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Preferuje się operacje realizowane w pełni lub częściowo z udziałem partnerów społecznych lub organizacji pozarządowych. "Partnerzy społeczni” to termin szeroko używany w całej Europie w odniesieniu do przedstawicieli pracodawców i pracowników (organizacji pracodawców i związków zawodowych). Partnerem społecznym może być również związek wyznaniowy (parafia). Organizacja pozarządowa (NGO) to organizacja założona przez obywateli z własnej inicjatywy, która nie działa dla osiągnięcia zysku i jest zorganizowana na szczeblu lokalnym, krajowym lub międzynarodowym.</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b/>
                <w:sz w:val="21"/>
                <w:szCs w:val="21"/>
                <w:lang w:eastAsia="pl-PL"/>
              </w:rPr>
            </w:pPr>
            <w:r w:rsidRPr="008621BD">
              <w:rPr>
                <w:rFonts w:ascii="Times New Roman" w:eastAsia="Times New Roman" w:hAnsi="Times New Roman"/>
                <w:b/>
                <w:sz w:val="21"/>
                <w:szCs w:val="21"/>
                <w:lang w:eastAsia="pl-PL"/>
              </w:rPr>
              <w:t>Realizacja operacji przez partnerów społecznych lub organizacje pozarządowe:</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sz w:val="21"/>
                <w:szCs w:val="21"/>
                <w:lang w:eastAsia="pl-PL"/>
              </w:rPr>
            </w:pPr>
            <w:r w:rsidRPr="008621BD">
              <w:rPr>
                <w:rFonts w:ascii="Times New Roman" w:eastAsia="Times New Roman" w:hAnsi="Times New Roman"/>
                <w:sz w:val="21"/>
                <w:szCs w:val="21"/>
                <w:lang w:eastAsia="pl-PL"/>
              </w:rPr>
              <w:t>0-5</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Operacja realizowana jest w pełni lub częściowo przez partnerów społecznych lub organizacje pozarządowe.</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5</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p>
        </w:tc>
      </w:tr>
      <w:tr w:rsidR="00D50ECC" w:rsidRPr="008621BD" w:rsidTr="00B32A77">
        <w:trPr>
          <w:gridAfter w:val="1"/>
          <w:wAfter w:w="10" w:type="dxa"/>
          <w:trHeight w:val="311"/>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Operacja nie jest realizowana w pełni lub częściowo przez partnerów społecznych lub organizacje pozarządowe.</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0</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lang w:eastAsia="pl-PL"/>
              </w:rPr>
            </w:pPr>
          </w:p>
        </w:tc>
      </w:tr>
      <w:tr w:rsidR="00D50ECC" w:rsidRPr="008621BD" w:rsidTr="00B32A77">
        <w:trPr>
          <w:gridAfter w:val="1"/>
          <w:wAfter w:w="10" w:type="dxa"/>
          <w:trHeight w:val="542"/>
        </w:trPr>
        <w:tc>
          <w:tcPr>
            <w:tcW w:w="639" w:type="dxa"/>
            <w:gridSpan w:val="2"/>
            <w:vMerge/>
            <w:tcBorders>
              <w:top w:val="nil"/>
              <w:left w:val="single" w:sz="4" w:space="0" w:color="000000"/>
              <w:bottom w:val="single" w:sz="4" w:space="0" w:color="000000"/>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auto"/>
          </w:tcPr>
          <w:p w:rsidR="00D50ECC" w:rsidRDefault="00D50ECC" w:rsidP="00B32A77">
            <w:pPr>
              <w:spacing w:after="0" w:line="259" w:lineRule="auto"/>
              <w:ind w:left="70"/>
              <w:rPr>
                <w:rFonts w:ascii="Times New Roman" w:eastAsia="Times New Roman" w:hAnsi="Times New Roman"/>
                <w:sz w:val="21"/>
                <w:szCs w:val="21"/>
                <w:lang w:eastAsia="pl-PL"/>
              </w:rPr>
            </w:pPr>
            <w:r w:rsidRPr="008621BD">
              <w:rPr>
                <w:rFonts w:ascii="Times New Roman" w:eastAsia="Times New Roman" w:hAnsi="Times New Roman"/>
                <w:sz w:val="21"/>
                <w:szCs w:val="21"/>
                <w:lang w:eastAsia="pl-PL"/>
              </w:rPr>
              <w:t>Uzasadnienie:</w:t>
            </w:r>
          </w:p>
          <w:p w:rsidR="00453974" w:rsidRDefault="00453974" w:rsidP="00B32A77">
            <w:pPr>
              <w:spacing w:after="0" w:line="259" w:lineRule="auto"/>
              <w:ind w:left="70"/>
              <w:rPr>
                <w:rFonts w:ascii="Times New Roman" w:eastAsia="Times New Roman" w:hAnsi="Times New Roman"/>
                <w:sz w:val="21"/>
                <w:szCs w:val="21"/>
                <w:lang w:eastAsia="pl-PL"/>
              </w:rPr>
            </w:pPr>
          </w:p>
          <w:p w:rsidR="00453974" w:rsidRPr="008621BD" w:rsidRDefault="00453974" w:rsidP="00B32A77">
            <w:pPr>
              <w:spacing w:after="0" w:line="259" w:lineRule="auto"/>
              <w:ind w:left="70"/>
              <w:rPr>
                <w:rFonts w:ascii="Times New Roman" w:eastAsia="Times New Roman" w:hAnsi="Times New Roman"/>
                <w:sz w:val="21"/>
                <w:szCs w:val="21"/>
                <w:lang w:eastAsia="pl-PL"/>
              </w:rPr>
            </w:pPr>
          </w:p>
        </w:tc>
      </w:tr>
      <w:tr w:rsidR="00D50ECC" w:rsidRPr="008621BD" w:rsidTr="00B32A77">
        <w:trPr>
          <w:gridAfter w:val="1"/>
          <w:wAfter w:w="10" w:type="dxa"/>
          <w:trHeight w:val="1073"/>
        </w:trPr>
        <w:tc>
          <w:tcPr>
            <w:tcW w:w="639"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D50ECC">
            <w:pPr>
              <w:numPr>
                <w:ilvl w:val="0"/>
                <w:numId w:val="1"/>
              </w:numPr>
              <w:spacing w:after="0" w:line="259" w:lineRule="auto"/>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Spełnienie kryterium: </w:t>
            </w:r>
          </w:p>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 xml:space="preserve">Preferuje się projekty, które wykazują komplementarność co najmniej z jednym innym projektem. Zgodnie z definicją komplementarności (przyjętą przez Komitet Koordynacyjny Narodowe Strategiczne Ramy Odniesienia na lata 2007 - 2013 w ramach Uchwały nr 64 w sprawie definicji „komplementarności"), komplementarność polityk, strategii, programów, działań, projektów to ich dopełnianie się prowadzące do realizacji określonego celu. Do uznania działań lub projektów za komplementarne nie jest wystarczające spełnienie przesłanki takiego samego lub wspólnego celu, gdyż ten warunek może być wypełniony w odniesieniu do projektów konkurujących ze sobą. Warunkiem koniecznym do określenia projektów jako komplementarne jest ich uzupełniający się charakter, wykluczający powielanie się działań. W ramach LSR można wskazać komplementarność międzyprogramową, terytorialną bądź sektorową projektów LSR z innymi projektami realizowanymi ze środków europejskich (np.  </w:t>
            </w:r>
            <w:r w:rsidRPr="008621BD">
              <w:rPr>
                <w:rFonts w:ascii="Times New Roman" w:eastAsia="Times New Roman" w:hAnsi="Times New Roman"/>
                <w:sz w:val="20"/>
                <w:szCs w:val="20"/>
                <w:lang w:eastAsia="pl-PL"/>
              </w:rPr>
              <w:lastRenderedPageBreak/>
              <w:t>PROW 2014-2020,  RPO 2014-2020, programy współpracy transgranicznej) lub innych (np. FIO, Programy MKiDN), które zostały zrealizowane lub są w trakcie realizacji.  Weryfikacji podlegać będzie powiązanie projektu z innymi przedsięwzięciami, zarówno tymi zrealizowanymi, jak też z tymi, które są w trakcie realizacji, lub które dopiero zostały zaakceptowane do realizacji (bez względu na źródło finansowania czy też podmiot realizujący), w szczególności w następującym zakresie: czy przy realizacji projektu będą wykorzystywane efekty realizacji innego projektu, czy nastąpi wzmocnienie trwałości efektów jednego przedsięwzięcia realizacją innego, czy projekty są adresowane do tej samej grupy docelowej, tego samego terytorium, czy rozwiązują ten sam problem; czy realizacja jednego projektu jest uzależniona od przeprowadzenia innego przedsięwzięcia; czy projekt stanowi ostatni etap szerszego przedsięwzięcia lub kontynuację wcześniej realizowanych przedsięwzięć.</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b/>
                <w:lang w:eastAsia="pl-PL"/>
              </w:rPr>
            </w:pPr>
            <w:r w:rsidRPr="008621BD">
              <w:rPr>
                <w:rFonts w:ascii="Times New Roman" w:eastAsia="Times New Roman" w:hAnsi="Times New Roman"/>
                <w:b/>
                <w:lang w:eastAsia="pl-PL"/>
              </w:rPr>
              <w:t>Komplementarność projektu z innymi projektami</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lang w:eastAsia="pl-PL"/>
              </w:rPr>
              <w:t>0-6</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Wnioskodawca wykazał komplementarność z innymi projektami.</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6</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29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Wnioskodawca nie wykazał komplementarności z innymi projektami.</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0</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542"/>
        </w:trPr>
        <w:tc>
          <w:tcPr>
            <w:tcW w:w="639" w:type="dxa"/>
            <w:gridSpan w:val="2"/>
            <w:vMerge/>
            <w:tcBorders>
              <w:top w:val="nil"/>
              <w:left w:val="single" w:sz="4" w:space="0" w:color="000000"/>
              <w:bottom w:val="single" w:sz="4" w:space="0" w:color="000000"/>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Uzasadnienie: </w:t>
            </w:r>
          </w:p>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726"/>
        </w:trPr>
        <w:tc>
          <w:tcPr>
            <w:tcW w:w="639"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D50ECC">
            <w:pPr>
              <w:numPr>
                <w:ilvl w:val="0"/>
                <w:numId w:val="1"/>
              </w:numPr>
              <w:spacing w:after="0" w:line="259" w:lineRule="auto"/>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Spełnienie kryterium:</w:t>
            </w:r>
          </w:p>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Preferuje się operacje, do których dołączono niezbędne pozwolenia i inne dokumenty już na etapie składania wniosku. Zmniejsza to ryzyko, że Wnioskodawca na dalszym etapie realizacji operacji nie dopełni formalności lub zrezygnuje z realizacji operacji, co jest niekorzystne dla LGD. W przypadku, gdy inwestycja nie wymaga zgłoszenia robót budowlanych lub pozwolenia na budowę wnioskodawca załącza wniosek wraz z informacją właściwego organu potwierdzający fakt niewymagania w/w dokumentów. W takim przypadku wnioskodawca otrzymuje 4 punkty.</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b/>
                <w:lang w:eastAsia="pl-PL"/>
              </w:rPr>
            </w:pPr>
            <w:r w:rsidRPr="008621BD">
              <w:rPr>
                <w:rFonts w:ascii="Times New Roman" w:eastAsia="Times New Roman" w:hAnsi="Times New Roman"/>
                <w:b/>
                <w:lang w:eastAsia="pl-PL"/>
              </w:rPr>
              <w:t>Stan gotowości technicznej projektu do realizacji:</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lang w:eastAsia="pl-PL"/>
              </w:rPr>
              <w:t>0-4</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Uzyskano pozwolenie na budowę lub dokonano zgłoszenia robót budowlanych, w stosunku co do których organ nie wniósł sprzeciwu. Przedłożono dokument potwierdzający brak konieczności uzyskania pozwolenia lub dokonania zgłoszenia robót budowlanych.</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4</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29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Brak wniosku o wydanie pozwolenia na budowę/zgłoszenia robót budowlanych.</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0</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542"/>
        </w:trPr>
        <w:tc>
          <w:tcPr>
            <w:tcW w:w="639" w:type="dxa"/>
            <w:gridSpan w:val="2"/>
            <w:vMerge/>
            <w:tcBorders>
              <w:top w:val="nil"/>
              <w:left w:val="single" w:sz="4" w:space="0" w:color="000000"/>
              <w:bottom w:val="single" w:sz="4" w:space="0" w:color="000000"/>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Uzasadnienie: </w:t>
            </w:r>
          </w:p>
          <w:p w:rsidR="00D50ECC" w:rsidRDefault="00D50ECC" w:rsidP="00B32A77">
            <w:pPr>
              <w:spacing w:after="0" w:line="259" w:lineRule="auto"/>
              <w:ind w:left="70"/>
              <w:rPr>
                <w:rFonts w:ascii="Times New Roman" w:eastAsia="Times New Roman" w:hAnsi="Times New Roman"/>
                <w:sz w:val="21"/>
                <w:lang w:eastAsia="pl-PL"/>
              </w:rPr>
            </w:pPr>
            <w:r w:rsidRPr="008621BD">
              <w:rPr>
                <w:rFonts w:ascii="Times New Roman" w:eastAsia="Times New Roman" w:hAnsi="Times New Roman"/>
                <w:sz w:val="21"/>
                <w:lang w:eastAsia="pl-PL"/>
              </w:rPr>
              <w:t xml:space="preserve"> </w:t>
            </w:r>
          </w:p>
          <w:p w:rsidR="00453974" w:rsidRPr="008621BD" w:rsidRDefault="00453974" w:rsidP="00B32A77">
            <w:pPr>
              <w:spacing w:after="0" w:line="259" w:lineRule="auto"/>
              <w:ind w:left="70"/>
              <w:rPr>
                <w:rFonts w:ascii="Times New Roman" w:eastAsia="Times New Roman" w:hAnsi="Times New Roman"/>
                <w:lang w:eastAsia="pl-PL"/>
              </w:rPr>
            </w:pPr>
          </w:p>
        </w:tc>
      </w:tr>
      <w:tr w:rsidR="00D50ECC" w:rsidRPr="00021340" w:rsidTr="00B32A77">
        <w:trPr>
          <w:trHeight w:val="383"/>
        </w:trPr>
        <w:tc>
          <w:tcPr>
            <w:tcW w:w="14611" w:type="dxa"/>
            <w:gridSpan w:val="6"/>
            <w:tcBorders>
              <w:top w:val="nil"/>
              <w:left w:val="single" w:sz="4" w:space="0" w:color="000000"/>
              <w:bottom w:val="nil"/>
              <w:right w:val="single" w:sz="4" w:space="0" w:color="000000"/>
            </w:tcBorders>
            <w:shd w:val="clear" w:color="auto" w:fill="92D050"/>
          </w:tcPr>
          <w:p w:rsidR="00D50ECC" w:rsidRPr="00021340" w:rsidRDefault="00D50ECC" w:rsidP="00B32A77">
            <w:pPr>
              <w:spacing w:after="0" w:line="259" w:lineRule="auto"/>
              <w:ind w:left="70"/>
              <w:rPr>
                <w:rFonts w:ascii="Times New Roman" w:eastAsia="Times New Roman" w:hAnsi="Times New Roman"/>
                <w:b/>
                <w:sz w:val="21"/>
                <w:lang w:eastAsia="pl-PL"/>
              </w:rPr>
            </w:pPr>
            <w:r w:rsidRPr="00021340">
              <w:rPr>
                <w:rFonts w:ascii="Times New Roman" w:eastAsia="Times New Roman" w:hAnsi="Times New Roman"/>
                <w:b/>
                <w:sz w:val="21"/>
                <w:lang w:eastAsia="pl-PL"/>
              </w:rPr>
              <w:lastRenderedPageBreak/>
              <w:t>WYNIK OCENY OPERACJI WG LOKALNYCH KRYTERIÓW WYBORU</w:t>
            </w:r>
          </w:p>
        </w:tc>
      </w:tr>
      <w:tr w:rsidR="00D50ECC" w:rsidRPr="00021340" w:rsidTr="00B32A77">
        <w:trPr>
          <w:trHeight w:val="662"/>
        </w:trPr>
        <w:tc>
          <w:tcPr>
            <w:tcW w:w="590" w:type="dxa"/>
            <w:tcBorders>
              <w:top w:val="nil"/>
              <w:left w:val="single" w:sz="4" w:space="0" w:color="000000"/>
              <w:bottom w:val="single" w:sz="4" w:space="0" w:color="auto"/>
              <w:right w:val="single" w:sz="4" w:space="0" w:color="000000"/>
            </w:tcBorders>
            <w:shd w:val="clear" w:color="auto" w:fill="92D050"/>
          </w:tcPr>
          <w:p w:rsidR="00D50ECC" w:rsidRPr="00021340" w:rsidRDefault="00D50ECC" w:rsidP="00B32A77">
            <w:pPr>
              <w:spacing w:after="0" w:line="259" w:lineRule="auto"/>
              <w:ind w:left="-851"/>
              <w:rPr>
                <w:rFonts w:ascii="Times New Roman" w:eastAsia="Times New Roman" w:hAnsi="Times New Roman"/>
                <w:lang w:eastAsia="pl-PL"/>
              </w:rPr>
            </w:pPr>
          </w:p>
        </w:tc>
        <w:tc>
          <w:tcPr>
            <w:tcW w:w="14021" w:type="dxa"/>
            <w:gridSpan w:val="5"/>
            <w:tcBorders>
              <w:top w:val="single" w:sz="4" w:space="0" w:color="000000"/>
              <w:left w:val="single" w:sz="4" w:space="0" w:color="000000"/>
              <w:bottom w:val="single" w:sz="4" w:space="0" w:color="auto"/>
              <w:right w:val="single" w:sz="4" w:space="0" w:color="000000"/>
            </w:tcBorders>
            <w:shd w:val="clear" w:color="auto" w:fill="auto"/>
            <w:vAlign w:val="center"/>
          </w:tcPr>
          <w:p w:rsidR="00D50ECC" w:rsidRPr="00021340" w:rsidRDefault="00FF2B90" w:rsidP="00B32A77">
            <w:pPr>
              <w:spacing w:after="0" w:line="259" w:lineRule="auto"/>
              <w:ind w:left="70"/>
              <w:jc w:val="center"/>
              <w:rPr>
                <w:rFonts w:ascii="Times New Roman" w:eastAsia="Times New Roman" w:hAnsi="Times New Roman"/>
                <w:sz w:val="21"/>
                <w:lang w:eastAsia="pl-PL"/>
              </w:rPr>
            </w:pPr>
            <w:r>
              <w:rPr>
                <w:rFonts w:ascii="Times New Roman" w:eastAsia="Times New Roman" w:hAnsi="Times New Roman"/>
                <w:noProof/>
                <w:sz w:val="21"/>
                <w:lang w:eastAsia="pl-PL"/>
              </w:rPr>
              <mc:AlternateContent>
                <mc:Choice Requires="wps">
                  <w:drawing>
                    <wp:anchor distT="0" distB="0" distL="114300" distR="114300" simplePos="0" relativeHeight="251658240" behindDoc="0" locked="0" layoutInCell="1" allowOverlap="1">
                      <wp:simplePos x="0" y="0"/>
                      <wp:positionH relativeFrom="column">
                        <wp:posOffset>4911090</wp:posOffset>
                      </wp:positionH>
                      <wp:positionV relativeFrom="paragraph">
                        <wp:posOffset>20955</wp:posOffset>
                      </wp:positionV>
                      <wp:extent cx="381000" cy="266700"/>
                      <wp:effectExtent l="9525" t="12700" r="9525"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1132E" id="Rectangle 2" o:spid="_x0000_s1026" style="position:absolute;margin-left:386.7pt;margin-top:1.65pt;width:30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"/>
                  </w:pict>
                </mc:Fallback>
              </mc:AlternateContent>
            </w:r>
            <w:r w:rsidR="00D50ECC" w:rsidRPr="00021340">
              <w:rPr>
                <w:rFonts w:ascii="Times New Roman" w:eastAsia="Times New Roman" w:hAnsi="Times New Roman"/>
                <w:b/>
                <w:sz w:val="21"/>
                <w:lang w:eastAsia="pl-PL"/>
              </w:rPr>
              <w:t>Operacja uzyskała łącznie                   pkt</w:t>
            </w:r>
            <w:r w:rsidR="00D50ECC">
              <w:rPr>
                <w:rFonts w:ascii="Times New Roman" w:eastAsia="Times New Roman" w:hAnsi="Times New Roman"/>
                <w:sz w:val="21"/>
                <w:lang w:eastAsia="pl-PL"/>
              </w:rPr>
              <w:t>.</w:t>
            </w:r>
          </w:p>
        </w:tc>
      </w:tr>
      <w:tr w:rsidR="00D50ECC" w:rsidTr="00B32A77">
        <w:trPr>
          <w:trHeight w:val="1140"/>
        </w:trPr>
        <w:tc>
          <w:tcPr>
            <w:tcW w:w="14611" w:type="dxa"/>
            <w:gridSpan w:val="6"/>
            <w:tcBorders>
              <w:top w:val="single" w:sz="4" w:space="0" w:color="auto"/>
              <w:left w:val="single" w:sz="4" w:space="0" w:color="auto"/>
              <w:bottom w:val="single" w:sz="4" w:space="0" w:color="auto"/>
              <w:right w:val="single" w:sz="4" w:space="0" w:color="auto"/>
            </w:tcBorders>
            <w:shd w:val="clear" w:color="auto" w:fill="92D050"/>
          </w:tcPr>
          <w:tbl>
            <w:tblPr>
              <w:tblW w:w="14596" w:type="dxa"/>
              <w:tblCellMar>
                <w:top w:w="45" w:type="dxa"/>
                <w:left w:w="66" w:type="dxa"/>
                <w:right w:w="12" w:type="dxa"/>
              </w:tblCellMar>
              <w:tblLook w:val="04A0" w:firstRow="1" w:lastRow="0" w:firstColumn="1" w:lastColumn="0" w:noHBand="0" w:noVBand="1"/>
            </w:tblPr>
            <w:tblGrid>
              <w:gridCol w:w="3964"/>
              <w:gridCol w:w="10632"/>
            </w:tblGrid>
            <w:tr w:rsidR="00D50ECC" w:rsidRPr="003551F8" w:rsidTr="00B32A77">
              <w:trPr>
                <w:trHeight w:val="333"/>
              </w:trPr>
              <w:tc>
                <w:tcPr>
                  <w:tcW w:w="14596"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D50ECC" w:rsidRPr="00021340" w:rsidRDefault="00D50ECC" w:rsidP="00B32A77">
                  <w:pPr>
                    <w:spacing w:after="0" w:line="259" w:lineRule="auto"/>
                    <w:ind w:left="-851" w:right="53"/>
                    <w:jc w:val="center"/>
                    <w:rPr>
                      <w:rFonts w:ascii="Times New Roman" w:hAnsi="Times New Roman"/>
                      <w:b/>
                    </w:rPr>
                  </w:pPr>
                  <w:r w:rsidRPr="00021340">
                    <w:rPr>
                      <w:rFonts w:ascii="Times New Roman" w:hAnsi="Times New Roman"/>
                      <w:b/>
                      <w:sz w:val="21"/>
                    </w:rPr>
                    <w:t>Oceniający (Członek Rady)</w:t>
                  </w:r>
                </w:p>
              </w:tc>
            </w:tr>
            <w:tr w:rsidR="00D50ECC" w:rsidRPr="003551F8" w:rsidTr="00B32A77">
              <w:trPr>
                <w:trHeight w:val="650"/>
              </w:trPr>
              <w:tc>
                <w:tcPr>
                  <w:tcW w:w="396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50ECC" w:rsidRPr="00021340" w:rsidRDefault="00D50ECC" w:rsidP="00B32A77">
                  <w:pPr>
                    <w:spacing w:after="0" w:line="259" w:lineRule="auto"/>
                    <w:rPr>
                      <w:rFonts w:ascii="Times New Roman" w:hAnsi="Times New Roman"/>
                    </w:rPr>
                  </w:pPr>
                  <w:r w:rsidRPr="00021340">
                    <w:rPr>
                      <w:rFonts w:ascii="Times New Roman" w:hAnsi="Times New Roman"/>
                      <w:sz w:val="21"/>
                    </w:rPr>
                    <w:t xml:space="preserve">Imię i nazwisko Członka Rady </w:t>
                  </w:r>
                </w:p>
              </w:tc>
              <w:tc>
                <w:tcPr>
                  <w:tcW w:w="1063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50ECC" w:rsidRPr="00021340" w:rsidRDefault="00D50ECC" w:rsidP="00B32A77">
                  <w:pPr>
                    <w:spacing w:after="0" w:line="259" w:lineRule="auto"/>
                    <w:ind w:left="-851"/>
                    <w:rPr>
                      <w:rFonts w:ascii="Times New Roman" w:hAnsi="Times New Roman"/>
                    </w:rPr>
                  </w:pPr>
                  <w:r w:rsidRPr="00021340">
                    <w:rPr>
                      <w:rFonts w:ascii="Times New Roman" w:hAnsi="Times New Roman"/>
                      <w:sz w:val="21"/>
                    </w:rPr>
                    <w:t xml:space="preserve">  </w:t>
                  </w:r>
                </w:p>
              </w:tc>
            </w:tr>
            <w:tr w:rsidR="00D50ECC" w:rsidRPr="003551F8" w:rsidTr="00B32A77">
              <w:trPr>
                <w:trHeight w:val="660"/>
              </w:trPr>
              <w:tc>
                <w:tcPr>
                  <w:tcW w:w="3964" w:type="dxa"/>
                  <w:tcBorders>
                    <w:top w:val="single" w:sz="4" w:space="0" w:color="000000"/>
                    <w:left w:val="single" w:sz="4" w:space="0" w:color="000000"/>
                    <w:bottom w:val="single" w:sz="3" w:space="0" w:color="000000"/>
                    <w:right w:val="single" w:sz="4" w:space="0" w:color="000000"/>
                  </w:tcBorders>
                  <w:shd w:val="clear" w:color="auto" w:fill="F2F2F2"/>
                  <w:vAlign w:val="center"/>
                </w:tcPr>
                <w:p w:rsidR="00D50ECC" w:rsidRPr="00021340" w:rsidRDefault="00D50ECC" w:rsidP="00B32A77">
                  <w:pPr>
                    <w:spacing w:after="0" w:line="259" w:lineRule="auto"/>
                    <w:rPr>
                      <w:rFonts w:ascii="Times New Roman" w:hAnsi="Times New Roman"/>
                    </w:rPr>
                  </w:pPr>
                  <w:r w:rsidRPr="00021340">
                    <w:rPr>
                      <w:rFonts w:ascii="Times New Roman" w:hAnsi="Times New Roman"/>
                      <w:sz w:val="21"/>
                    </w:rPr>
                    <w:t xml:space="preserve">Data i podpis </w:t>
                  </w:r>
                </w:p>
              </w:tc>
              <w:tc>
                <w:tcPr>
                  <w:tcW w:w="10632" w:type="dxa"/>
                  <w:tcBorders>
                    <w:top w:val="single" w:sz="4" w:space="0" w:color="000000"/>
                    <w:left w:val="single" w:sz="4" w:space="0" w:color="000000"/>
                    <w:bottom w:val="single" w:sz="3" w:space="0" w:color="000000"/>
                    <w:right w:val="single" w:sz="4" w:space="0" w:color="000000"/>
                  </w:tcBorders>
                  <w:shd w:val="clear" w:color="auto" w:fill="F2F2F2"/>
                </w:tcPr>
                <w:p w:rsidR="00D50ECC" w:rsidRPr="00021340" w:rsidRDefault="00D50ECC" w:rsidP="00B32A77">
                  <w:pPr>
                    <w:spacing w:after="0" w:line="259" w:lineRule="auto"/>
                    <w:ind w:left="-851"/>
                    <w:rPr>
                      <w:rFonts w:ascii="Times New Roman" w:hAnsi="Times New Roman"/>
                    </w:rPr>
                  </w:pPr>
                  <w:r w:rsidRPr="00021340">
                    <w:rPr>
                      <w:rFonts w:ascii="Times New Roman" w:hAnsi="Times New Roman"/>
                      <w:sz w:val="21"/>
                    </w:rPr>
                    <w:t xml:space="preserve">  </w:t>
                  </w:r>
                </w:p>
                <w:p w:rsidR="00D50ECC" w:rsidRPr="00021340" w:rsidRDefault="00D50ECC" w:rsidP="00B32A77">
                  <w:pPr>
                    <w:spacing w:after="0" w:line="259" w:lineRule="auto"/>
                    <w:ind w:left="-851"/>
                    <w:rPr>
                      <w:rFonts w:ascii="Times New Roman" w:hAnsi="Times New Roman"/>
                    </w:rPr>
                  </w:pPr>
                  <w:r w:rsidRPr="00021340">
                    <w:rPr>
                      <w:rFonts w:ascii="Times New Roman" w:hAnsi="Times New Roman"/>
                      <w:sz w:val="21"/>
                    </w:rPr>
                    <w:t xml:space="preserve"> </w:t>
                  </w:r>
                </w:p>
              </w:tc>
            </w:tr>
          </w:tbl>
          <w:p w:rsidR="00D50ECC" w:rsidRDefault="00D50ECC" w:rsidP="00B32A77">
            <w:pPr>
              <w:spacing w:after="0"/>
            </w:pPr>
          </w:p>
        </w:tc>
      </w:tr>
    </w:tbl>
    <w:p w:rsidR="002923C9" w:rsidRDefault="002923C9"/>
    <w:sectPr w:rsidR="002923C9" w:rsidSect="00D50ECC">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E8B" w:rsidRDefault="00CD6E8B" w:rsidP="00D50ECC">
      <w:pPr>
        <w:spacing w:after="0" w:line="240" w:lineRule="auto"/>
      </w:pPr>
      <w:r>
        <w:separator/>
      </w:r>
    </w:p>
  </w:endnote>
  <w:endnote w:type="continuationSeparator" w:id="0">
    <w:p w:rsidR="00CD6E8B" w:rsidRDefault="00CD6E8B" w:rsidP="00D50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E8B" w:rsidRDefault="00CD6E8B" w:rsidP="00D50ECC">
      <w:pPr>
        <w:spacing w:after="0" w:line="240" w:lineRule="auto"/>
      </w:pPr>
      <w:r>
        <w:separator/>
      </w:r>
    </w:p>
  </w:footnote>
  <w:footnote w:type="continuationSeparator" w:id="0">
    <w:p w:rsidR="00CD6E8B" w:rsidRDefault="00CD6E8B" w:rsidP="00D50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ECC" w:rsidRDefault="00FF2B90">
    <w:pPr>
      <w:pStyle w:val="Nagwek"/>
    </w:pPr>
    <w:r>
      <w:rPr>
        <w:noProof/>
        <w:lang w:eastAsia="pl-PL"/>
      </w:rPr>
      <mc:AlternateContent>
        <mc:Choice Requires="wps">
          <w:drawing>
            <wp:anchor distT="0" distB="0" distL="114300" distR="114300" simplePos="0" relativeHeight="251658240" behindDoc="0" locked="0" layoutInCell="1" allowOverlap="1">
              <wp:simplePos x="0" y="0"/>
              <wp:positionH relativeFrom="column">
                <wp:posOffset>7310755</wp:posOffset>
              </wp:positionH>
              <wp:positionV relativeFrom="paragraph">
                <wp:posOffset>-78105</wp:posOffset>
              </wp:positionV>
              <wp:extent cx="1552575" cy="333375"/>
              <wp:effectExtent l="9525" t="9525"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F19B4" id="Rectangle 3" o:spid="_x0000_s1026" style="position:absolute;margin-left:575.65pt;margin-top:-6.15pt;width:122.2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"/>
          </w:pict>
        </mc:Fallback>
      </mc:AlternateContent>
    </w:r>
    <w:r w:rsidR="00D50EC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710DDC"/>
    <w:multiLevelType w:val="hybridMultilevel"/>
    <w:tmpl w:val="4AAE6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ECC"/>
    <w:rsid w:val="0011730F"/>
    <w:rsid w:val="001B097F"/>
    <w:rsid w:val="002923C9"/>
    <w:rsid w:val="00453974"/>
    <w:rsid w:val="00CD6E8B"/>
    <w:rsid w:val="00D50ECC"/>
    <w:rsid w:val="00FF2B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283468-394F-428C-B2DF-12B68E69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0EC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D50EC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50ECC"/>
    <w:rPr>
      <w:rFonts w:ascii="Calibri" w:eastAsia="Calibri" w:hAnsi="Calibri" w:cs="Times New Roman"/>
    </w:rPr>
  </w:style>
  <w:style w:type="paragraph" w:styleId="Stopka">
    <w:name w:val="footer"/>
    <w:basedOn w:val="Normalny"/>
    <w:link w:val="StopkaZnak"/>
    <w:uiPriority w:val="99"/>
    <w:semiHidden/>
    <w:unhideWhenUsed/>
    <w:rsid w:val="00D50EC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D50EC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8E9F49-AFCA-4150-9936-64E193F62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1390</Words>
  <Characters>8340</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Stowarzyszenie</dc:creator>
  <cp:keywords/>
  <dc:description/>
  <cp:lastModifiedBy>Stowarzyszenie</cp:lastModifiedBy>
  <cp:revision>2</cp:revision>
  <dcterms:created xsi:type="dcterms:W3CDTF">2020-09-18T10:46:00Z</dcterms:created>
  <dcterms:modified xsi:type="dcterms:W3CDTF">2020-09-18T10:46:00Z</dcterms:modified>
</cp:coreProperties>
</file>